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303C" w14:textId="77777777" w:rsidR="00A86408" w:rsidRPr="00094C37" w:rsidRDefault="00A86408" w:rsidP="00A86408">
      <w:pPr>
        <w:spacing w:after="0"/>
        <w:rPr>
          <w:b/>
          <w:bCs/>
          <w:sz w:val="32"/>
          <w:szCs w:val="32"/>
        </w:rPr>
      </w:pPr>
      <w:r w:rsidRPr="00094C37">
        <w:rPr>
          <w:b/>
          <w:bCs/>
          <w:sz w:val="32"/>
          <w:szCs w:val="32"/>
        </w:rPr>
        <w:t>Contraindications – 7 Days Pre- and Post-Microneedling</w:t>
      </w:r>
    </w:p>
    <w:p w14:paraId="30192D7D" w14:textId="77777777" w:rsidR="00A86408" w:rsidRPr="00094C37" w:rsidRDefault="00A86408" w:rsidP="00A86408">
      <w:pPr>
        <w:spacing w:after="0"/>
      </w:pPr>
      <w:r w:rsidRPr="00094C37">
        <w:t xml:space="preserve">These are </w:t>
      </w:r>
      <w:r w:rsidRPr="00094C37">
        <w:rPr>
          <w:b/>
          <w:bCs/>
        </w:rPr>
        <w:t>temporary</w:t>
      </w:r>
      <w:r w:rsidRPr="00094C37">
        <w:t xml:space="preserve"> lifestyle or skincare-related contraindications. They apply either before or after microneedling, or both, to ensure optimal healing and results.</w:t>
      </w:r>
    </w:p>
    <w:p w14:paraId="50F2D705" w14:textId="77777777" w:rsidR="00A86408" w:rsidRPr="00094C37" w:rsidRDefault="00A86408" w:rsidP="00A86408">
      <w:pPr>
        <w:spacing w:after="0"/>
        <w:rPr>
          <w:b/>
          <w:bCs/>
        </w:rPr>
      </w:pPr>
      <w:r w:rsidRPr="00094C37">
        <w:rPr>
          <w:rFonts w:ascii="Segoe UI Emoji" w:hAnsi="Segoe UI Emoji" w:cs="Segoe UI Emoji"/>
          <w:b/>
          <w:bCs/>
        </w:rPr>
        <w:t>✅</w:t>
      </w:r>
      <w:r w:rsidRPr="00094C37">
        <w:rPr>
          <w:b/>
          <w:bCs/>
        </w:rPr>
        <w:t xml:space="preserve"> 7 Days Prior to Treatment – Avoid:</w:t>
      </w:r>
    </w:p>
    <w:p w14:paraId="0F2FC704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Topical Retinoids</w:t>
      </w:r>
      <w:r w:rsidRPr="00094C37">
        <w:t xml:space="preserve"> (e.g. Retin-A, tretinoin)</w:t>
      </w:r>
    </w:p>
    <w:p w14:paraId="36F2A305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Exfoliants</w:t>
      </w:r>
      <w:r w:rsidRPr="00094C37">
        <w:t xml:space="preserve"> (AHAs, BHAs, scrubs, enzymes)</w:t>
      </w:r>
    </w:p>
    <w:p w14:paraId="1564C3FF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Chemical Peels or Laser Treatments</w:t>
      </w:r>
    </w:p>
    <w:p w14:paraId="55BFC48F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Blood Thinners</w:t>
      </w:r>
      <w:r w:rsidRPr="00094C37">
        <w:t xml:space="preserve"> (unless medically necessary – consult physician)</w:t>
      </w:r>
    </w:p>
    <w:p w14:paraId="38E48142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Sun Exposure/Tanning</w:t>
      </w:r>
      <w:r w:rsidRPr="00094C37">
        <w:t xml:space="preserve"> (risk of hyperpigmentation)</w:t>
      </w:r>
    </w:p>
    <w:p w14:paraId="313F9C9D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Waxing, Electrolysis, or Threading</w:t>
      </w:r>
      <w:r w:rsidRPr="00094C37">
        <w:t xml:space="preserve"> on the area</w:t>
      </w:r>
    </w:p>
    <w:p w14:paraId="7068127E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Facial Injections</w:t>
      </w:r>
      <w:r w:rsidRPr="00094C37">
        <w:t xml:space="preserve"> (Botox, fillers – wait 7–14 days)</w:t>
      </w:r>
    </w:p>
    <w:p w14:paraId="639A5558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Accutane/Isotretinoin</w:t>
      </w:r>
      <w:r w:rsidRPr="00094C37">
        <w:t xml:space="preserve"> (must be off for 6 months minimum)</w:t>
      </w:r>
    </w:p>
    <w:p w14:paraId="32C90EA0" w14:textId="77777777" w:rsidR="00A86408" w:rsidRPr="00094C37" w:rsidRDefault="00A86408" w:rsidP="00A86408">
      <w:pPr>
        <w:numPr>
          <w:ilvl w:val="0"/>
          <w:numId w:val="1"/>
        </w:numPr>
        <w:spacing w:after="0" w:line="278" w:lineRule="auto"/>
      </w:pPr>
      <w:r w:rsidRPr="00094C37">
        <w:rPr>
          <w:b/>
          <w:bCs/>
        </w:rPr>
        <w:t>Active Cold Sores</w:t>
      </w:r>
      <w:r w:rsidRPr="00094C37">
        <w:t xml:space="preserve"> (reschedule if outbreak occurs)</w:t>
      </w:r>
    </w:p>
    <w:p w14:paraId="6642DB0D" w14:textId="77777777" w:rsidR="00A86408" w:rsidRPr="00094C37" w:rsidRDefault="00A86408" w:rsidP="00A86408">
      <w:pPr>
        <w:spacing w:after="0"/>
        <w:rPr>
          <w:b/>
          <w:bCs/>
        </w:rPr>
      </w:pPr>
      <w:r w:rsidRPr="00094C37">
        <w:rPr>
          <w:rFonts w:ascii="Segoe UI Emoji" w:hAnsi="Segoe UI Emoji" w:cs="Segoe UI Emoji"/>
          <w:b/>
          <w:bCs/>
        </w:rPr>
        <w:t>✅</w:t>
      </w:r>
      <w:r w:rsidRPr="00094C37">
        <w:rPr>
          <w:b/>
          <w:bCs/>
        </w:rPr>
        <w:t xml:space="preserve"> 7 Days After Treatment – Avoid:</w:t>
      </w:r>
    </w:p>
    <w:p w14:paraId="2DDA7424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Makeup</w:t>
      </w:r>
      <w:r w:rsidRPr="00094C37">
        <w:t xml:space="preserve"> (especially within 24–48 hours)</w:t>
      </w:r>
    </w:p>
    <w:p w14:paraId="30A64A91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Sun Exposure</w:t>
      </w:r>
      <w:r w:rsidRPr="00094C37">
        <w:t xml:space="preserve"> (use SPF 30+ daily)</w:t>
      </w:r>
    </w:p>
    <w:p w14:paraId="76876D12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Exfoliating Products</w:t>
      </w:r>
      <w:r w:rsidRPr="00094C37">
        <w:t xml:space="preserve"> (scrubs, acids, retinoids)</w:t>
      </w:r>
    </w:p>
    <w:p w14:paraId="447047EC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Swimming Pools, Saunas, Hot Tubs</w:t>
      </w:r>
      <w:r w:rsidRPr="00094C37">
        <w:t xml:space="preserve"> (bacteria risk)</w:t>
      </w:r>
    </w:p>
    <w:p w14:paraId="2283F04B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Sweating/Heavy Workouts</w:t>
      </w:r>
      <w:r w:rsidRPr="00094C37">
        <w:t xml:space="preserve"> (may irritate skin)</w:t>
      </w:r>
    </w:p>
    <w:p w14:paraId="3AA632A1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Touching or Picking at Treated Skin</w:t>
      </w:r>
    </w:p>
    <w:p w14:paraId="14F12BF9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Harsh Skincare Products</w:t>
      </w:r>
      <w:r w:rsidRPr="00094C37">
        <w:t xml:space="preserve"> (fragrance, alcohol-based)</w:t>
      </w:r>
    </w:p>
    <w:p w14:paraId="0330AF00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Facial Treatments</w:t>
      </w:r>
      <w:r w:rsidRPr="00094C37">
        <w:t xml:space="preserve"> (chemical peels, lasers)</w:t>
      </w:r>
    </w:p>
    <w:p w14:paraId="7DB647AC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Hair Removal Treatments</w:t>
      </w:r>
      <w:r w:rsidRPr="00094C37">
        <w:t xml:space="preserve"> (waxing, threading, laser)</w:t>
      </w:r>
    </w:p>
    <w:p w14:paraId="54E885ED" w14:textId="77777777" w:rsidR="00A86408" w:rsidRPr="00094C37" w:rsidRDefault="00A86408" w:rsidP="00A86408">
      <w:pPr>
        <w:numPr>
          <w:ilvl w:val="0"/>
          <w:numId w:val="2"/>
        </w:numPr>
        <w:spacing w:after="0" w:line="278" w:lineRule="auto"/>
      </w:pPr>
      <w:r w:rsidRPr="00094C37">
        <w:rPr>
          <w:b/>
          <w:bCs/>
        </w:rPr>
        <w:t>Tanning Beds/Self-Tanner</w:t>
      </w:r>
    </w:p>
    <w:p w14:paraId="7766A9FD" w14:textId="77777777" w:rsidR="00A86408" w:rsidRPr="00094C37" w:rsidRDefault="00A86408" w:rsidP="00A86408">
      <w:pPr>
        <w:spacing w:after="0"/>
      </w:pPr>
      <w:r>
        <w:pict w14:anchorId="052BFF9F">
          <v:rect id="_x0000_i1025" style="width:468pt;height:1.5pt" o:hralign="center" o:hrstd="t" o:hr="t" fillcolor="#a0a0a0" stroked="f"/>
        </w:pict>
      </w:r>
    </w:p>
    <w:p w14:paraId="38944765" w14:textId="77777777" w:rsidR="00A86408" w:rsidRPr="00094C37" w:rsidRDefault="00A86408" w:rsidP="00A86408">
      <w:pPr>
        <w:spacing w:after="0"/>
        <w:rPr>
          <w:b/>
          <w:bCs/>
        </w:rPr>
      </w:pPr>
      <w:r w:rsidRPr="00094C37">
        <w:rPr>
          <w:rFonts w:ascii="Segoe UI Emoji" w:hAnsi="Segoe UI Emoji" w:cs="Segoe UI Emoji"/>
          <w:b/>
          <w:bCs/>
        </w:rPr>
        <w:t>❌</w:t>
      </w:r>
      <w:r w:rsidRPr="00094C37">
        <w:rPr>
          <w:b/>
          <w:bCs/>
        </w:rPr>
        <w:t xml:space="preserve"> Health-Related Contraindications (Absolute or Relative)</w:t>
      </w:r>
    </w:p>
    <w:p w14:paraId="2B83CA87" w14:textId="77777777" w:rsidR="00A86408" w:rsidRPr="00094C37" w:rsidRDefault="00A86408" w:rsidP="00A86408">
      <w:pPr>
        <w:spacing w:after="0"/>
      </w:pPr>
      <w:r w:rsidRPr="00094C37">
        <w:t xml:space="preserve">These are </w:t>
      </w:r>
      <w:r w:rsidRPr="00094C37">
        <w:rPr>
          <w:b/>
          <w:bCs/>
        </w:rPr>
        <w:t>medical or chronic conditions</w:t>
      </w:r>
      <w:r w:rsidRPr="00094C37">
        <w:t xml:space="preserve"> that either prevent microneedling altogether or require physician clearance.</w:t>
      </w:r>
    </w:p>
    <w:p w14:paraId="79FD78E7" w14:textId="77777777" w:rsidR="00A86408" w:rsidRPr="00094C37" w:rsidRDefault="00A86408" w:rsidP="00A86408">
      <w:pPr>
        <w:spacing w:after="0"/>
        <w:rPr>
          <w:b/>
          <w:bCs/>
        </w:rPr>
      </w:pPr>
      <w:r w:rsidRPr="00094C37">
        <w:rPr>
          <w:rFonts w:ascii="Segoe UI Emoji" w:hAnsi="Segoe UI Emoji" w:cs="Segoe UI Emoji"/>
          <w:b/>
          <w:bCs/>
        </w:rPr>
        <w:t>🚫</w:t>
      </w:r>
      <w:r w:rsidRPr="00094C37">
        <w:rPr>
          <w:b/>
          <w:bCs/>
        </w:rPr>
        <w:t xml:space="preserve"> Absolute Contraindications (Do Not Treat):</w:t>
      </w:r>
    </w:p>
    <w:p w14:paraId="0C142A49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Active Skin Infections</w:t>
      </w:r>
      <w:r w:rsidRPr="00094C37">
        <w:t xml:space="preserve"> (acne cysts, herpes simplex, warts, impetigo)</w:t>
      </w:r>
    </w:p>
    <w:p w14:paraId="7CA6E970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Active Eczema or Psoriasis</w:t>
      </w:r>
      <w:r w:rsidRPr="00094C37">
        <w:t xml:space="preserve"> in the treatment area</w:t>
      </w:r>
    </w:p>
    <w:p w14:paraId="2A56735C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Keloid or Hypertrophic Scarring Tendency</w:t>
      </w:r>
    </w:p>
    <w:p w14:paraId="51946C0F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Chronic Rosacea</w:t>
      </w:r>
      <w:r w:rsidRPr="00094C37">
        <w:t xml:space="preserve"> (especially if inflamed or pustular)</w:t>
      </w:r>
    </w:p>
    <w:p w14:paraId="46025AE8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Skin Cancer or Suspicious Lesions</w:t>
      </w:r>
      <w:r w:rsidRPr="00094C37">
        <w:t xml:space="preserve"> in the area</w:t>
      </w:r>
    </w:p>
    <w:p w14:paraId="63665FDA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Pregnancy or Breastfeeding</w:t>
      </w:r>
      <w:r w:rsidRPr="00094C37">
        <w:t xml:space="preserve"> (not enough safety data)</w:t>
      </w:r>
    </w:p>
    <w:p w14:paraId="69782BC6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Uncontrolled Diabetes</w:t>
      </w:r>
      <w:r w:rsidRPr="00094C37">
        <w:t xml:space="preserve"> (delayed healing, infection risk)</w:t>
      </w:r>
    </w:p>
    <w:p w14:paraId="42343541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Blood Clotting Disorders or Anticoagulant Therapy</w:t>
      </w:r>
    </w:p>
    <w:p w14:paraId="67EBCEC9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Autoimmune Diseases</w:t>
      </w:r>
      <w:r w:rsidRPr="00094C37">
        <w:t xml:space="preserve"> (e.g., lupus, scleroderma – unless cleared)</w:t>
      </w:r>
    </w:p>
    <w:p w14:paraId="5C68DC7E" w14:textId="77777777" w:rsidR="00A86408" w:rsidRPr="00094C37" w:rsidRDefault="00A86408" w:rsidP="00A86408">
      <w:pPr>
        <w:numPr>
          <w:ilvl w:val="0"/>
          <w:numId w:val="3"/>
        </w:numPr>
        <w:spacing w:after="0" w:line="278" w:lineRule="auto"/>
      </w:pPr>
      <w:r w:rsidRPr="00094C37">
        <w:rPr>
          <w:b/>
          <w:bCs/>
        </w:rPr>
        <w:t>Accutane/Isotretinoin Use in Past 6 Months</w:t>
      </w:r>
    </w:p>
    <w:p w14:paraId="37E37041" w14:textId="220FF16A" w:rsidR="003A5841" w:rsidRDefault="00A86408" w:rsidP="009109E9">
      <w:pPr>
        <w:numPr>
          <w:ilvl w:val="0"/>
          <w:numId w:val="3"/>
        </w:numPr>
        <w:spacing w:after="0" w:line="278" w:lineRule="auto"/>
      </w:pPr>
      <w:r w:rsidRPr="00A86408">
        <w:rPr>
          <w:b/>
          <w:bCs/>
        </w:rPr>
        <w:t xml:space="preserve">Radiation or chemotherapy in the last 12 months </w:t>
      </w:r>
    </w:p>
    <w:sectPr w:rsidR="003A5841" w:rsidSect="00736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9930" w14:textId="77777777" w:rsidR="00E6586A" w:rsidRDefault="00E6586A" w:rsidP="0073652C">
      <w:pPr>
        <w:spacing w:after="0" w:line="240" w:lineRule="auto"/>
      </w:pPr>
      <w:r>
        <w:separator/>
      </w:r>
    </w:p>
  </w:endnote>
  <w:endnote w:type="continuationSeparator" w:id="0">
    <w:p w14:paraId="54C2215D" w14:textId="77777777" w:rsidR="00E6586A" w:rsidRDefault="00E6586A" w:rsidP="007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9B9" w14:textId="77777777" w:rsidR="009F5EB4" w:rsidRDefault="009F5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B1D" w14:textId="77777777" w:rsidR="009F5EB4" w:rsidRDefault="009F5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2E5E" w14:textId="77777777" w:rsidR="009F5EB4" w:rsidRDefault="009F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E92D" w14:textId="77777777" w:rsidR="00E6586A" w:rsidRDefault="00E6586A" w:rsidP="0073652C">
      <w:pPr>
        <w:spacing w:after="0" w:line="240" w:lineRule="auto"/>
      </w:pPr>
      <w:r>
        <w:separator/>
      </w:r>
    </w:p>
  </w:footnote>
  <w:footnote w:type="continuationSeparator" w:id="0">
    <w:p w14:paraId="5A6761E8" w14:textId="77777777" w:rsidR="00E6586A" w:rsidRDefault="00E6586A" w:rsidP="007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1EF" w14:textId="77777777" w:rsidR="009F5EB4" w:rsidRDefault="009F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E388" w14:textId="0D7556C5" w:rsidR="0073652C" w:rsidRDefault="007365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2831F" wp14:editId="17E744C7">
              <wp:simplePos x="0" y="0"/>
              <wp:positionH relativeFrom="column">
                <wp:posOffset>4124325</wp:posOffset>
              </wp:positionH>
              <wp:positionV relativeFrom="paragraph">
                <wp:posOffset>152400</wp:posOffset>
              </wp:positionV>
              <wp:extent cx="2695575" cy="83947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8394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B8BEE1" w14:textId="181398B5" w:rsidR="0073652C" w:rsidRPr="0073652C" w:rsidRDefault="0073652C" w:rsidP="0073652C">
                          <w:pPr>
                            <w:spacing w:after="0" w:line="240" w:lineRule="exact"/>
                            <w:jc w:val="right"/>
                            <w:rPr>
                              <w:rFonts w:ascii="Gill Sans Nova Light" w:hAnsi="Gill Sans Nova Light"/>
                            </w:rPr>
                          </w:pPr>
                          <w:r w:rsidRPr="0073652C">
                            <w:rPr>
                              <w:rFonts w:ascii="Gill Sans Nova Light" w:hAnsi="Gill Sans Nova Light"/>
                            </w:rPr>
                            <w:t>17250 N. 43</w:t>
                          </w:r>
                          <w:r w:rsidRPr="0073652C">
                            <w:rPr>
                              <w:rFonts w:ascii="Gill Sans Nova Light" w:hAnsi="Gill Sans Nova Light"/>
                              <w:vertAlign w:val="superscript"/>
                            </w:rPr>
                            <w:t>rd</w:t>
                          </w:r>
                          <w:r w:rsidRPr="0073652C">
                            <w:rPr>
                              <w:rFonts w:ascii="Gill Sans Nova Light" w:hAnsi="Gill Sans Nova Light"/>
                            </w:rPr>
                            <w:t xml:space="preserve"> Avenue, Suite 5</w:t>
                          </w:r>
                        </w:p>
                        <w:p w14:paraId="57F66A3D" w14:textId="5AED25E9" w:rsidR="0073652C" w:rsidRPr="0073652C" w:rsidRDefault="0073652C" w:rsidP="0073652C">
                          <w:pPr>
                            <w:spacing w:after="0" w:line="240" w:lineRule="exact"/>
                            <w:jc w:val="right"/>
                            <w:rPr>
                              <w:rFonts w:ascii="Gill Sans Nova Light" w:hAnsi="Gill Sans Nova Light"/>
                            </w:rPr>
                          </w:pPr>
                          <w:r w:rsidRPr="0073652C">
                            <w:rPr>
                              <w:rFonts w:ascii="Gill Sans Nova Light" w:hAnsi="Gill Sans Nova Light"/>
                            </w:rPr>
                            <w:t>Glendale, Arizona 8530</w:t>
                          </w:r>
                          <w:r w:rsidR="00205275">
                            <w:rPr>
                              <w:rFonts w:ascii="Gill Sans Nova Light" w:hAnsi="Gill Sans Nova Light"/>
                            </w:rPr>
                            <w:t>8</w:t>
                          </w:r>
                        </w:p>
                        <w:p w14:paraId="42D626BA" w14:textId="5B4C0935" w:rsidR="0073652C" w:rsidRPr="0073652C" w:rsidRDefault="0073652C" w:rsidP="0073652C">
                          <w:pPr>
                            <w:spacing w:after="0" w:line="240" w:lineRule="exact"/>
                            <w:jc w:val="right"/>
                            <w:rPr>
                              <w:rFonts w:ascii="Gill Sans Nova Light" w:hAnsi="Gill Sans Nova Light"/>
                            </w:rPr>
                          </w:pPr>
                          <w:r w:rsidRPr="0073652C">
                            <w:rPr>
                              <w:rFonts w:ascii="Gill Sans Nova Light" w:hAnsi="Gill Sans Nova Light"/>
                            </w:rPr>
                            <w:t>Phone: 623-842-1261</w:t>
                          </w:r>
                        </w:p>
                        <w:p w14:paraId="0F0A27B3" w14:textId="42B2E6F8" w:rsidR="0073652C" w:rsidRPr="0073652C" w:rsidRDefault="0073652C" w:rsidP="0073652C">
                          <w:pPr>
                            <w:spacing w:after="0" w:line="240" w:lineRule="exact"/>
                            <w:jc w:val="right"/>
                            <w:rPr>
                              <w:rFonts w:ascii="Gill Sans Nova Light" w:hAnsi="Gill Sans Nova Light"/>
                            </w:rPr>
                          </w:pPr>
                          <w:r w:rsidRPr="0073652C">
                            <w:rPr>
                              <w:rFonts w:ascii="Gill Sans Nova Light" w:hAnsi="Gill Sans Nova Light"/>
                            </w:rPr>
                            <w:t>Fax: 623-334-0182</w:t>
                          </w:r>
                        </w:p>
                        <w:p w14:paraId="4462BFB4" w14:textId="5F6E92B1" w:rsidR="0073652C" w:rsidRPr="0073652C" w:rsidRDefault="0073652C" w:rsidP="0073652C">
                          <w:pPr>
                            <w:spacing w:after="0" w:line="240" w:lineRule="exact"/>
                            <w:jc w:val="right"/>
                            <w:rPr>
                              <w:rFonts w:ascii="Gill Sans Nova Light" w:hAnsi="Gill Sans Nova Light"/>
                            </w:rPr>
                          </w:pPr>
                          <w:r w:rsidRPr="0073652C">
                            <w:rPr>
                              <w:rFonts w:ascii="Gill Sans Nova Light" w:hAnsi="Gill Sans Nova Light"/>
                            </w:rPr>
                            <w:t>ReNewMedAZ.com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283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4.75pt;margin-top:12pt;width:212.25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" fillcolor="white [3201]" stroked="f" strokeweight=".5pt">
              <v:textbox>
                <w:txbxContent>
                  <w:p w14:paraId="63B8BEE1" w14:textId="181398B5" w:rsidR="0073652C" w:rsidRPr="0073652C" w:rsidRDefault="0073652C" w:rsidP="0073652C">
                    <w:pPr>
                      <w:spacing w:after="0" w:line="240" w:lineRule="exact"/>
                      <w:jc w:val="right"/>
                      <w:rPr>
                        <w:rFonts w:ascii="Gill Sans Nova Light" w:hAnsi="Gill Sans Nova Light"/>
                      </w:rPr>
                    </w:pPr>
                    <w:r w:rsidRPr="0073652C">
                      <w:rPr>
                        <w:rFonts w:ascii="Gill Sans Nova Light" w:hAnsi="Gill Sans Nova Light"/>
                      </w:rPr>
                      <w:t>17250 N. 43</w:t>
                    </w:r>
                    <w:r w:rsidRPr="0073652C">
                      <w:rPr>
                        <w:rFonts w:ascii="Gill Sans Nova Light" w:hAnsi="Gill Sans Nova Light"/>
                        <w:vertAlign w:val="superscript"/>
                      </w:rPr>
                      <w:t>rd</w:t>
                    </w:r>
                    <w:r w:rsidRPr="0073652C">
                      <w:rPr>
                        <w:rFonts w:ascii="Gill Sans Nova Light" w:hAnsi="Gill Sans Nova Light"/>
                      </w:rPr>
                      <w:t xml:space="preserve"> Avenue, Suite 5</w:t>
                    </w:r>
                  </w:p>
                  <w:p w14:paraId="57F66A3D" w14:textId="5AED25E9" w:rsidR="0073652C" w:rsidRPr="0073652C" w:rsidRDefault="0073652C" w:rsidP="0073652C">
                    <w:pPr>
                      <w:spacing w:after="0" w:line="240" w:lineRule="exact"/>
                      <w:jc w:val="right"/>
                      <w:rPr>
                        <w:rFonts w:ascii="Gill Sans Nova Light" w:hAnsi="Gill Sans Nova Light"/>
                      </w:rPr>
                    </w:pPr>
                    <w:r w:rsidRPr="0073652C">
                      <w:rPr>
                        <w:rFonts w:ascii="Gill Sans Nova Light" w:hAnsi="Gill Sans Nova Light"/>
                      </w:rPr>
                      <w:t>Glendale, Arizona 8530</w:t>
                    </w:r>
                    <w:r w:rsidR="00205275">
                      <w:rPr>
                        <w:rFonts w:ascii="Gill Sans Nova Light" w:hAnsi="Gill Sans Nova Light"/>
                      </w:rPr>
                      <w:t>8</w:t>
                    </w:r>
                  </w:p>
                  <w:p w14:paraId="42D626BA" w14:textId="5B4C0935" w:rsidR="0073652C" w:rsidRPr="0073652C" w:rsidRDefault="0073652C" w:rsidP="0073652C">
                    <w:pPr>
                      <w:spacing w:after="0" w:line="240" w:lineRule="exact"/>
                      <w:jc w:val="right"/>
                      <w:rPr>
                        <w:rFonts w:ascii="Gill Sans Nova Light" w:hAnsi="Gill Sans Nova Light"/>
                      </w:rPr>
                    </w:pPr>
                    <w:r w:rsidRPr="0073652C">
                      <w:rPr>
                        <w:rFonts w:ascii="Gill Sans Nova Light" w:hAnsi="Gill Sans Nova Light"/>
                      </w:rPr>
                      <w:t>Phone: 623-842-1261</w:t>
                    </w:r>
                  </w:p>
                  <w:p w14:paraId="0F0A27B3" w14:textId="42B2E6F8" w:rsidR="0073652C" w:rsidRPr="0073652C" w:rsidRDefault="0073652C" w:rsidP="0073652C">
                    <w:pPr>
                      <w:spacing w:after="0" w:line="240" w:lineRule="exact"/>
                      <w:jc w:val="right"/>
                      <w:rPr>
                        <w:rFonts w:ascii="Gill Sans Nova Light" w:hAnsi="Gill Sans Nova Light"/>
                      </w:rPr>
                    </w:pPr>
                    <w:r w:rsidRPr="0073652C">
                      <w:rPr>
                        <w:rFonts w:ascii="Gill Sans Nova Light" w:hAnsi="Gill Sans Nova Light"/>
                      </w:rPr>
                      <w:t>Fax: 623-334-0182</w:t>
                    </w:r>
                  </w:p>
                  <w:p w14:paraId="4462BFB4" w14:textId="5F6E92B1" w:rsidR="0073652C" w:rsidRPr="0073652C" w:rsidRDefault="0073652C" w:rsidP="0073652C">
                    <w:pPr>
                      <w:spacing w:after="0" w:line="240" w:lineRule="exact"/>
                      <w:jc w:val="right"/>
                      <w:rPr>
                        <w:rFonts w:ascii="Gill Sans Nova Light" w:hAnsi="Gill Sans Nova Light"/>
                      </w:rPr>
                    </w:pPr>
                    <w:r w:rsidRPr="0073652C">
                      <w:rPr>
                        <w:rFonts w:ascii="Gill Sans Nova Light" w:hAnsi="Gill Sans Nova Light"/>
                      </w:rPr>
                      <w:t>ReNewMedAZ.com</w:t>
                    </w:r>
                  </w:p>
                </w:txbxContent>
              </v:textbox>
            </v:shape>
          </w:pict>
        </mc:Fallback>
      </mc:AlternateContent>
    </w:r>
    <w:r w:rsidR="00D03E70">
      <w:rPr>
        <w:noProof/>
      </w:rPr>
      <w:drawing>
        <wp:inline distT="0" distB="0" distL="0" distR="0" wp14:anchorId="3ACB86CF" wp14:editId="5065E4EF">
          <wp:extent cx="3152775" cy="932112"/>
          <wp:effectExtent l="0" t="0" r="0" b="1905"/>
          <wp:docPr id="27" name="Picture 2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4632" cy="956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F672B" w14:textId="698E6C8D" w:rsidR="0073652C" w:rsidRDefault="00D03E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7C85F" wp14:editId="15FA1339">
              <wp:simplePos x="0" y="0"/>
              <wp:positionH relativeFrom="column">
                <wp:posOffset>0</wp:posOffset>
              </wp:positionH>
              <wp:positionV relativeFrom="paragraph">
                <wp:posOffset>78105</wp:posOffset>
              </wp:positionV>
              <wp:extent cx="6753225" cy="76200"/>
              <wp:effectExtent l="0" t="0" r="28575" b="1905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76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43DDE" id="Rectangle 26" o:spid="_x0000_s1026" style="position:absolute;margin-left:0;margin-top:6.15pt;width:531.7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" fillcolor="#bfbfbf [2412]" strokecolor="#bfbfbf [2412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C2C9" w14:textId="77777777" w:rsidR="009F5EB4" w:rsidRDefault="009F5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BE"/>
    <w:multiLevelType w:val="multilevel"/>
    <w:tmpl w:val="A28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9608E"/>
    <w:multiLevelType w:val="multilevel"/>
    <w:tmpl w:val="C5DA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B2E54"/>
    <w:multiLevelType w:val="multilevel"/>
    <w:tmpl w:val="0CA0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25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278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326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9D"/>
    <w:rsid w:val="0003077C"/>
    <w:rsid w:val="00031086"/>
    <w:rsid w:val="00041B5C"/>
    <w:rsid w:val="00046C48"/>
    <w:rsid w:val="000A360D"/>
    <w:rsid w:val="000A517F"/>
    <w:rsid w:val="000E0E9D"/>
    <w:rsid w:val="000E7494"/>
    <w:rsid w:val="0010349F"/>
    <w:rsid w:val="001169CB"/>
    <w:rsid w:val="001A50C7"/>
    <w:rsid w:val="00205275"/>
    <w:rsid w:val="002338AE"/>
    <w:rsid w:val="00254C2A"/>
    <w:rsid w:val="002A715B"/>
    <w:rsid w:val="00306887"/>
    <w:rsid w:val="00320A1C"/>
    <w:rsid w:val="00387FBA"/>
    <w:rsid w:val="003A16F9"/>
    <w:rsid w:val="003A5841"/>
    <w:rsid w:val="003B648C"/>
    <w:rsid w:val="003C60BF"/>
    <w:rsid w:val="004230ED"/>
    <w:rsid w:val="00496FB6"/>
    <w:rsid w:val="005200E9"/>
    <w:rsid w:val="005410F5"/>
    <w:rsid w:val="006226E2"/>
    <w:rsid w:val="00715F1D"/>
    <w:rsid w:val="00733747"/>
    <w:rsid w:val="0073480E"/>
    <w:rsid w:val="0073652C"/>
    <w:rsid w:val="00781277"/>
    <w:rsid w:val="007A289F"/>
    <w:rsid w:val="007C5A35"/>
    <w:rsid w:val="008026FD"/>
    <w:rsid w:val="00804B45"/>
    <w:rsid w:val="00890507"/>
    <w:rsid w:val="008A219F"/>
    <w:rsid w:val="008E7B81"/>
    <w:rsid w:val="00962325"/>
    <w:rsid w:val="009C1E45"/>
    <w:rsid w:val="009F122A"/>
    <w:rsid w:val="009F5EB4"/>
    <w:rsid w:val="00A86408"/>
    <w:rsid w:val="00AE450E"/>
    <w:rsid w:val="00B071EF"/>
    <w:rsid w:val="00BF4043"/>
    <w:rsid w:val="00C75DF5"/>
    <w:rsid w:val="00C77BF8"/>
    <w:rsid w:val="00CB0C27"/>
    <w:rsid w:val="00CE0E02"/>
    <w:rsid w:val="00D03E70"/>
    <w:rsid w:val="00D4059C"/>
    <w:rsid w:val="00D4334E"/>
    <w:rsid w:val="00D45201"/>
    <w:rsid w:val="00D57030"/>
    <w:rsid w:val="00D8014F"/>
    <w:rsid w:val="00DF7963"/>
    <w:rsid w:val="00E359A7"/>
    <w:rsid w:val="00E6586A"/>
    <w:rsid w:val="00E94149"/>
    <w:rsid w:val="00EC4CFE"/>
    <w:rsid w:val="00EE3EC1"/>
    <w:rsid w:val="00EE588B"/>
    <w:rsid w:val="00EE68CE"/>
    <w:rsid w:val="00FA652F"/>
    <w:rsid w:val="00FB5EFB"/>
    <w:rsid w:val="00FC1794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EC5B7"/>
  <w15:docId w15:val="{5151C1DE-F7AC-4828-B5FA-A9AE5894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31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2C"/>
  </w:style>
  <w:style w:type="paragraph" w:styleId="Footer">
    <w:name w:val="footer"/>
    <w:basedOn w:val="Normal"/>
    <w:link w:val="FooterChar"/>
    <w:uiPriority w:val="99"/>
    <w:unhideWhenUsed/>
    <w:rsid w:val="0073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Schmidt Business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Schmidt</dc:creator>
  <cp:lastModifiedBy>ReNew Medical Center</cp:lastModifiedBy>
  <cp:revision>2</cp:revision>
  <cp:lastPrinted>2024-08-01T00:39:00Z</cp:lastPrinted>
  <dcterms:created xsi:type="dcterms:W3CDTF">2025-07-14T15:18:00Z</dcterms:created>
  <dcterms:modified xsi:type="dcterms:W3CDTF">2025-07-14T15:18:00Z</dcterms:modified>
</cp:coreProperties>
</file>